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документов, подтверждающих право собственности подопечного и других собственников (при их наличии) на отчуждаемое имущество, права на которое не зарегистрированы в Едином государственном реестре недвижимости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LibreOffice/6.2.3.2$Windows_x86 LibreOffice_project/aecc05fe267cc68dde00352a451aa867b3b546ac</Application>
  <Pages>1</Pages>
  <Words>36</Words>
  <Characters>264</Characters>
  <CharactersWithSpaces>299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2020-04-29T13:22:11Z</dcterms:modified>
  <cp:revision>8</cp:revision>
  <dc:subject/>
  <dc:title/>
</cp:coreProperties>
</file>